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hd w:val="clear" w:color="auto" w:fill="FFFFFF"/>
        <w:spacing w:beforeAutospacing="0" w:after="210" w:afterAutospacing="0"/>
        <w:jc w:val="center"/>
        <w:rPr>
          <w:rFonts w:hint="eastAsia" w:ascii="方正小标宋_GBK" w:hAnsi="方正小标宋_GBK" w:eastAsia="方正小标宋_GBK" w:cs="方正小标宋_GBK"/>
          <w:kern w:val="2"/>
          <w:sz w:val="44"/>
          <w:szCs w:val="44"/>
          <w:lang w:val="en-US" w:eastAsia="zh-CN" w:bidi="ar-SA"/>
        </w:rPr>
      </w:pPr>
      <w:r>
        <w:rPr>
          <w:rFonts w:hint="eastAsia" w:ascii="方正小标宋_GBK" w:hAnsi="方正小标宋_GBK" w:eastAsia="方正小标宋_GBK" w:cs="方正小标宋_GBK"/>
          <w:kern w:val="2"/>
          <w:sz w:val="44"/>
          <w:szCs w:val="44"/>
          <w:lang w:val="en-US" w:eastAsia="zh-CN" w:bidi="ar-SA"/>
        </w:rPr>
        <w:t>编制说明</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一、目的意义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随着“互联网+”逐渐成为中国经济和社会发展的新引擎，互联网医院应运而生。它是医疗健康产业变革创新的新事物，是国家卫健委推动医药卫生体制改革的重要举措之一，从国家政策和产业现况来看，互联网医院的发展势头十分强劲，新的医疗健康服务模式不断涌现，服务内容和服务边界不断扩展延伸，作为医疗运作管理和互联网信息管理平台，在大量建成后，其运营管理也出现了诸多难点，面临着更大的挑战与更高的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互联网将云计算、健康大数据等信息技术融入医院的运营管理中，实现医疗质量与安全的闭环管理、医院财务与运营的闭环管理，进一步改善了医疗服务。而要解决老百姓诟病已久的“看病难，看病贵”问题，如何将医疗资源有效地发挥其最大作用是关键，这就对公立医疗机构互联网医院的管理提出了更高的要求。作为医疗服务业中的新模式，因互联网自身虚拟性等特点，互联网医院的监管难度本身便较高，容易引发较多的不确定因素和医疗质量风险，故而更加依赖于严格、完善的监管体系和制度来保障医疗质量安全。而目前相比于实体医院，互联网医院力量整体较薄弱，政府的推动及监管作用发挥不足，尚未建立起全方位立体式监管体系。</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公立医疗机构互联网医院运营管理服务规范》将上述一系列工作标准化、规范化，明确了互联网医院运营管理服务的标准及要求，实现互联网医院运营服务全方位管理，同时也可以推广至江苏省内其他医院，为其他医院提供可循依据，提高江苏省整体互联网医院医疗服务质量与效率，为推进互联网医院可持续发展提供借鉴和参考。</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二、任务来源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2023年8月8日，江苏省市场监督管理局发布《关于下达2023年度江苏省地方标准项目计划的通知》（苏市监标〔2023〕173号）批准了江苏省地方标准《公立医疗机构互联网医院运营管理服务规范》的立项。</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三、编制过程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Chars="200" w:right="0" w:rightChars="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本标准主要制定过程分为以下几个阶段：</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1、立项阶段：2023年初，江苏省人民医院、南京医科大学附属苏州医院、江苏亚寰软件股份有限公司、南京医科大学四家单位联合向省质量监督局申报了江苏省地方标准研制项目，并于2023年8月获得批准。本文件主要起草人：丁强、刘云、陈彦、钱东福、陈亚、蒋昀洁、张成、焦阳阳、王可欣、谢欣照、吴子怡、吕昕怡、王迪、成荣、周昊阳。</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2、预研阶段：2023年8月，项目任务下达后，四家单位联合成立了标准起草组，召开了标准研制启动会，制定了相应的工作方案和计划。在收集和分析研究政策文件及相关标准的基础上，选择江苏省人民医院、江苏省中医院、南京市鼓楼医院、苏州市立医院、徐州医科大学附属医院、徐州市中心医院等代表性公立医疗机构，针对其互联网医院运营管理服务规范情况进行实地调研，听取相关专家的意见和建议，研究指标体系的合理性，研究标准内容的适用性、完整性，为研究报告的编制提供依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3、修订阶段：2023年8-11月工作组开展标准总体修订方案研究，提出修订规范初步总体框架，制定下一步的工作计划。在标准制定的过程中，起草组加强了与相关业务部门的沟通与协调，明确了各成员的分工，并落实了责任，以确保标准制定工作能够按时完成。参照已有的相关国家、行业等标准，充分结合近几年公立医疗机构互联网医院运营管理服务的发展现状，开展修订工作。2023年11月，组织召开行业专家及修订组成员单位座谈会，在会上向相关行业专家和主管部门领导进行了意见征求，并根据会议意见，召开内部研讨会，对草案的整体框架和主要内容进行交流探讨，对规范进行完善，形成了工作组讨论稿。</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4、征求意见阶段：2023年12月-2024年1月，标准起草组通过给江苏省相关机构发放征求意见表等方式广泛征求了意见。征集有效意见27条。征求意见结束后，起草组根据各方专家意见，对标准的内容作了进一步修改完善，形成了标准送审稿。</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黑体" w:hAnsi="黑体" w:eastAsia="黑体" w:cs="黑体"/>
          <w:sz w:val="32"/>
          <w:szCs w:val="32"/>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rPr>
        <w:t>主要内容</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本</w:t>
      </w:r>
      <w:r>
        <w:rPr>
          <w:rFonts w:hint="eastAsia" w:ascii="宋体" w:hAnsi="宋体" w:eastAsia="宋体" w:cs="宋体"/>
          <w:sz w:val="24"/>
          <w:szCs w:val="24"/>
          <w:u w:val="none"/>
          <w:lang w:val="en-US" w:eastAsia="zh-CN"/>
        </w:rPr>
        <w:t>标准</w:t>
      </w:r>
      <w:r>
        <w:rPr>
          <w:rFonts w:hint="eastAsia" w:ascii="宋体" w:hAnsi="宋体" w:eastAsia="宋体" w:cs="宋体"/>
          <w:sz w:val="24"/>
          <w:szCs w:val="24"/>
          <w:u w:val="none"/>
        </w:rPr>
        <w:t xml:space="preserve">规定了公立医疗机构互联网医院的人员要求、设施部门、管理内容及要求、服务评价等方面的内容。适用于公立医疗机构互联网医院的运营管理、服务。非公立医疗机构互联网医院可参照执行。 </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1</w:t>
      </w:r>
      <w:r>
        <w:rPr>
          <w:rFonts w:hint="eastAsia" w:ascii="宋体" w:hAnsi="宋体" w:eastAsia="宋体" w:cs="宋体"/>
          <w:sz w:val="24"/>
          <w:szCs w:val="24"/>
          <w:u w:val="none"/>
          <w:lang w:eastAsia="zh-CN"/>
        </w:rPr>
        <w:t>）</w:t>
      </w:r>
      <w:r>
        <w:rPr>
          <w:rFonts w:hint="eastAsia" w:ascii="宋体" w:hAnsi="宋体" w:eastAsia="宋体" w:cs="宋体"/>
          <w:b/>
          <w:bCs/>
          <w:sz w:val="24"/>
          <w:szCs w:val="24"/>
          <w:u w:val="none"/>
          <w:lang w:val="en-US" w:eastAsia="zh-CN"/>
        </w:rPr>
        <w:t>第一章</w:t>
      </w:r>
      <w:r>
        <w:rPr>
          <w:rFonts w:hint="eastAsia" w:ascii="宋体" w:hAnsi="宋体" w:eastAsia="宋体" w:cs="宋体"/>
          <w:sz w:val="24"/>
          <w:szCs w:val="24"/>
          <w:u w:val="none"/>
          <w:lang w:val="en-US" w:eastAsia="zh-CN"/>
        </w:rPr>
        <w:t>规定了标准适用范围。</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本文件适用于公立医疗机构互联网医院的运营管理、服务。非公立医疗机构互联网医院可参照执行。</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w:t>
      </w:r>
      <w:r>
        <w:rPr>
          <w:rFonts w:hint="eastAsia" w:ascii="宋体" w:hAnsi="宋体" w:eastAsia="宋体" w:cs="宋体"/>
          <w:b/>
          <w:bCs/>
          <w:sz w:val="24"/>
          <w:szCs w:val="24"/>
          <w:u w:val="none"/>
          <w:lang w:val="en-US" w:eastAsia="zh-CN"/>
        </w:rPr>
        <w:t>第二章</w:t>
      </w:r>
      <w:r>
        <w:rPr>
          <w:rFonts w:hint="eastAsia" w:ascii="宋体" w:hAnsi="宋体" w:eastAsia="宋体" w:cs="宋体"/>
          <w:sz w:val="24"/>
          <w:szCs w:val="24"/>
          <w:u w:val="none"/>
          <w:lang w:val="en-US" w:eastAsia="zh-CN"/>
        </w:rPr>
        <w:t>列出了规范性引用的文件，主要有如下标准：</w:t>
      </w:r>
    </w:p>
    <w:p>
      <w:pPr>
        <w:spacing w:line="580" w:lineRule="exact"/>
        <w:ind w:firstLine="480" w:firstLineChars="200"/>
        <w:rPr>
          <w:rFonts w:hint="default"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DB35/T 2046—2021 公立医疗机构互联网医院建设规范</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（3）</w:t>
      </w:r>
      <w:r>
        <w:rPr>
          <w:rFonts w:hint="eastAsia" w:ascii="宋体" w:hAnsi="宋体" w:eastAsia="宋体" w:cs="宋体"/>
          <w:b/>
          <w:bCs/>
          <w:sz w:val="24"/>
          <w:szCs w:val="24"/>
          <w:u w:val="none"/>
          <w:lang w:val="en-US" w:eastAsia="zh-CN"/>
        </w:rPr>
        <w:t>第三章</w:t>
      </w:r>
      <w:r>
        <w:rPr>
          <w:rFonts w:hint="eastAsia" w:ascii="宋体" w:hAnsi="宋体" w:eastAsia="宋体" w:cs="宋体"/>
          <w:sz w:val="24"/>
          <w:szCs w:val="24"/>
          <w:u w:val="none"/>
          <w:lang w:val="en-US" w:eastAsia="zh-CN"/>
        </w:rPr>
        <w:t>对本标准中出现的重要术语给出了准确的定义。根据 GB/T1.1-2020 对“术语和定义”起草和表述的要求，给出了互联网医院、互联网诊疗、线上质控、互联网医院监督平台、处方流转等5项术语的定义和英文对应词。</w:t>
      </w:r>
    </w:p>
    <w:p>
      <w:pPr>
        <w:spacing w:line="580" w:lineRule="exact"/>
        <w:ind w:firstLine="480" w:firstLineChars="200"/>
        <w:rPr>
          <w:rFonts w:hint="default" w:ascii="宋体" w:hAnsi="宋体" w:eastAsia="宋体" w:cs="宋体"/>
          <w:b/>
          <w:bCs/>
          <w:sz w:val="24"/>
          <w:szCs w:val="24"/>
          <w:u w:val="none"/>
          <w:lang w:val="en-US" w:eastAsia="zh-CN"/>
        </w:rPr>
      </w:pPr>
      <w:r>
        <w:rPr>
          <w:rFonts w:hint="eastAsia" w:ascii="宋体" w:hAnsi="宋体" w:eastAsia="宋体" w:cs="宋体"/>
          <w:sz w:val="24"/>
          <w:szCs w:val="24"/>
          <w:u w:val="none"/>
          <w:lang w:val="en-US" w:eastAsia="zh-CN"/>
        </w:rPr>
        <w:t>（4）</w:t>
      </w:r>
      <w:r>
        <w:rPr>
          <w:rFonts w:hint="eastAsia" w:ascii="宋体" w:hAnsi="宋体" w:eastAsia="宋体" w:cs="宋体"/>
          <w:b/>
          <w:bCs/>
          <w:sz w:val="24"/>
          <w:szCs w:val="24"/>
          <w:u w:val="none"/>
          <w:lang w:val="en-US" w:eastAsia="zh-CN"/>
        </w:rPr>
        <w:t>第四章</w:t>
      </w:r>
      <w:r>
        <w:rPr>
          <w:rFonts w:hint="eastAsia" w:ascii="宋体" w:hAnsi="宋体" w:eastAsia="宋体" w:cs="宋体"/>
          <w:b w:val="0"/>
          <w:bCs w:val="0"/>
          <w:sz w:val="24"/>
          <w:szCs w:val="24"/>
          <w:u w:val="none"/>
          <w:lang w:val="en-US" w:eastAsia="zh-CN"/>
        </w:rPr>
        <w:t>介绍了人员要求，包括运营管理人员、诊疗服务人员、信息支撑人员和服务保障人员。</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（5）</w:t>
      </w:r>
      <w:r>
        <w:rPr>
          <w:rFonts w:hint="eastAsia" w:ascii="宋体" w:hAnsi="宋体" w:eastAsia="宋体" w:cs="宋体"/>
          <w:b/>
          <w:bCs/>
          <w:sz w:val="24"/>
          <w:szCs w:val="24"/>
          <w:u w:val="none"/>
          <w:lang w:val="en-US" w:eastAsia="zh-CN"/>
        </w:rPr>
        <w:t>第五章</w:t>
      </w:r>
      <w:r>
        <w:rPr>
          <w:rFonts w:hint="eastAsia" w:ascii="宋体" w:hAnsi="宋体" w:eastAsia="宋体" w:cs="宋体"/>
          <w:b w:val="0"/>
          <w:bCs w:val="0"/>
          <w:sz w:val="24"/>
          <w:szCs w:val="24"/>
          <w:u w:val="none"/>
          <w:lang w:val="en-US" w:eastAsia="zh-CN"/>
        </w:rPr>
        <w:t>给出</w:t>
      </w:r>
      <w:r>
        <w:rPr>
          <w:rFonts w:hint="eastAsia" w:ascii="宋体" w:hAnsi="宋体" w:eastAsia="宋体" w:cs="宋体"/>
          <w:sz w:val="24"/>
          <w:szCs w:val="24"/>
          <w:u w:val="none"/>
          <w:lang w:val="en-US" w:eastAsia="zh-CN"/>
        </w:rPr>
        <w:t>了设施部门包括部门、科目和设施情况。</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（6）</w:t>
      </w:r>
      <w:r>
        <w:rPr>
          <w:rFonts w:hint="eastAsia" w:ascii="宋体" w:hAnsi="宋体" w:eastAsia="宋体" w:cs="宋体"/>
          <w:b/>
          <w:bCs/>
          <w:sz w:val="24"/>
          <w:szCs w:val="24"/>
          <w:u w:val="none"/>
          <w:lang w:val="en-US" w:eastAsia="zh-CN"/>
        </w:rPr>
        <w:t>第六章</w:t>
      </w:r>
      <w:r>
        <w:rPr>
          <w:rFonts w:hint="eastAsia" w:ascii="宋体" w:hAnsi="宋体" w:eastAsia="宋体" w:cs="宋体"/>
          <w:b w:val="0"/>
          <w:bCs w:val="0"/>
          <w:sz w:val="24"/>
          <w:szCs w:val="24"/>
          <w:u w:val="none"/>
          <w:lang w:val="en-US" w:eastAsia="zh-CN"/>
        </w:rPr>
        <w:t>明确</w:t>
      </w:r>
      <w:r>
        <w:rPr>
          <w:rFonts w:hint="eastAsia" w:ascii="宋体" w:hAnsi="宋体" w:eastAsia="宋体" w:cs="宋体"/>
          <w:sz w:val="24"/>
          <w:szCs w:val="24"/>
          <w:u w:val="none"/>
          <w:lang w:val="en-US" w:eastAsia="zh-CN"/>
        </w:rPr>
        <w:t>了管理内容及要求包括制度建设、监督机制、业务规范、质量管理、运营推广、考评评估以及安全管理。</w:t>
      </w:r>
    </w:p>
    <w:p>
      <w:pPr>
        <w:spacing w:line="580" w:lineRule="exact"/>
        <w:ind w:firstLine="480" w:firstLineChars="200"/>
        <w:rPr>
          <w:rFonts w:hint="eastAsia" w:ascii="宋体" w:hAnsi="宋体" w:eastAsia="宋体" w:cs="宋体"/>
          <w:color w:val="000000"/>
          <w:szCs w:val="24"/>
          <w:shd w:val="clear" w:color="auto" w:fill="FFFFFF"/>
          <w:lang w:val="en-US" w:eastAsia="zh-CN"/>
        </w:rPr>
      </w:pPr>
      <w:r>
        <w:rPr>
          <w:rFonts w:hint="eastAsia" w:ascii="宋体" w:hAnsi="宋体" w:eastAsia="宋体" w:cs="宋体"/>
          <w:sz w:val="24"/>
          <w:szCs w:val="24"/>
          <w:u w:val="none"/>
          <w:lang w:val="en-US" w:eastAsia="zh-CN"/>
        </w:rPr>
        <w:t>（7）</w:t>
      </w:r>
      <w:r>
        <w:rPr>
          <w:rFonts w:hint="eastAsia" w:ascii="宋体" w:hAnsi="宋体" w:eastAsia="宋体" w:cs="宋体"/>
          <w:b/>
          <w:bCs/>
          <w:sz w:val="24"/>
          <w:szCs w:val="24"/>
          <w:u w:val="none"/>
          <w:lang w:val="en-US" w:eastAsia="zh-CN"/>
        </w:rPr>
        <w:t>第七章</w:t>
      </w:r>
      <w:r>
        <w:rPr>
          <w:rFonts w:hint="eastAsia" w:ascii="宋体" w:hAnsi="宋体" w:eastAsia="宋体" w:cs="宋体"/>
          <w:sz w:val="24"/>
          <w:szCs w:val="24"/>
          <w:u w:val="none"/>
          <w:lang w:val="en-US" w:eastAsia="zh-CN"/>
        </w:rPr>
        <w:t>介绍了管理评价，包括高效评价内容、评价方式、评价结论和结果应用。</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五、技术指标确定的依据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本标准在《互联网医院管理办法（试行）》《互联网诊疗管理办法（试行）》等文件指导下，按GB/T 1.1-2009《标准化工作导则 第1部分：标准的结构和编写规则》中的原则要求进行编写。从范围、规范性引用文件、术语和定义、人员要求、设施部门、管理内容及要求等方面，对公立医疗机构互联网医院运营管理服务工作提出了相应的要求或建议。标准主要内容技术指标确定的依据包括实地调研、查阅资料、专家座谈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查阅资料：工作组充分梳理、分析了我国现行有效的标准、规范的要求，收集了互联网医院相关的法律法规、规章制度以及相关研究文献。与公立医疗机构互联网医院相关的现行标准主要有DB35/T 2046-2021《公立医疗机构互联网医院建设规范》。对上述法规、标准、研究文献，本标准根据编写目的需求，有针对性地筛选，对于符合要求的本标准均予以吸收和引用。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实地调研：标准起草工作以实际评估为依据，通过设计现场调查表，采取查、看、听等方式对不同公立医院互联网医院进行了实地调研工作。先后实地走访了多家公立医院，参观了互联网医院，详细了解服务工作与流程，对相关人员的职能职责进行了深入了解和询查。</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工作组在认真吸取了与会单位专家和相关技术人员的意见建议，对推动地方技术标准建设工作有了进一步的理解掌握，遵循先进性、实用性、统一性、规范性的原则，加快促进标准出台，为公立医疗机构互联网医院运营管理服务提供标准支撑。</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在某些条文的处理上，起草组广泛听取了专家及相关方面的意见和建议，根据我省的监管实际，遵循先进性、实用性、统一性、规范性等原则，同时注重标准的可操作性，进一步确定了标准名称、适用范围、内容细节等。比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1、删除重复细节。参考专家建议：“质量管理人员”内容与“服务保障人员”高度重合，建议删除。</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default"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2、分类各级标题：根据专家意见，为提升标准的清晰性和可读性，对部分冗长的小标题下内容进行了精简、分类。例如，增加小标题“6.7.1  医疗安全”和“6.7.2  信息安全”。以及在“风险预警评估机制”这块内容，根据现有书写内容，建议分为两类来书写，有条理性和概括性，更清晰明了。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3、设定适用范围。本文件规定了公立医疗机构互联网医院的人员要求、设施部门、管理内容及要求、服务评价等方面的内容。适用于公立医疗机构互联网医院的运营管理、服务。非公立医疗机构互联网医院可参照执行。</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4、增加补充内容。参考专家建议：对于“互联网医院”的定义中可以加入官方条例或法律法规进行辅助。</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六、重大分歧意见的处理过程和依据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无</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ind w:left="0" w:leftChars="0" w:firstLine="640" w:firstLineChars="200"/>
        <w:textAlignment w:val="auto"/>
        <w:rPr>
          <w:rFonts w:hint="eastAsia" w:ascii="黑体" w:hAnsi="黑体" w:eastAsia="黑体" w:cs="黑体"/>
          <w:color w:val="000000"/>
          <w:sz w:val="32"/>
          <w:szCs w:val="32"/>
          <w:shd w:val="clear" w:color="auto" w:fill="FFFFFF"/>
        </w:rPr>
      </w:pPr>
      <w:r>
        <w:rPr>
          <w:rFonts w:hint="eastAsia" w:ascii="黑体" w:hAnsi="黑体" w:eastAsia="黑体" w:cs="黑体"/>
          <w:color w:val="000000"/>
          <w:kern w:val="0"/>
          <w:sz w:val="32"/>
          <w:szCs w:val="32"/>
          <w:shd w:val="clear" w:fill="FFFFFF"/>
          <w:lang w:val="en-US" w:eastAsia="zh-CN" w:bidi="ar-SA"/>
        </w:rPr>
        <w:t>七、</w:t>
      </w:r>
      <w:r>
        <w:rPr>
          <w:rFonts w:hint="eastAsia" w:ascii="黑体" w:hAnsi="黑体" w:eastAsia="黑体" w:cs="黑体"/>
          <w:color w:val="000000"/>
          <w:sz w:val="32"/>
          <w:szCs w:val="32"/>
          <w:shd w:val="clear" w:color="auto" w:fill="FFFFFF"/>
        </w:rPr>
        <w:t>与相关法律法规和国家标准的关系</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符合相关法律法规要求，技术指标高于国家标准相关技术要求。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firstLineChars="200"/>
        <w:jc w:val="left"/>
        <w:textAlignment w:val="auto"/>
        <w:rPr>
          <w:rFonts w:hint="eastAsia" w:ascii="宋体" w:hAnsi="宋体" w:eastAsia="宋体" w:cs="宋体"/>
          <w:i w:val="0"/>
          <w:iCs w:val="0"/>
          <w:caps w:val="0"/>
          <w:color w:val="000000"/>
          <w:spacing w:val="0"/>
          <w:sz w:val="24"/>
          <w:szCs w:val="24"/>
          <w:lang w:val="en-US" w:eastAsia="zh-CN"/>
        </w:rPr>
      </w:pPr>
      <w:r>
        <w:rPr>
          <w:rFonts w:hint="eastAsia" w:ascii="黑体" w:hAnsi="黑体" w:eastAsia="黑体" w:cs="黑体"/>
          <w:i w:val="0"/>
          <w:iCs w:val="0"/>
          <w:caps w:val="0"/>
          <w:color w:val="000000"/>
          <w:spacing w:val="0"/>
          <w:sz w:val="32"/>
          <w:szCs w:val="32"/>
          <w:shd w:val="clear" w:fill="FFFFFF"/>
          <w:lang w:val="en-US" w:eastAsia="zh-CN"/>
        </w:rPr>
        <w:t>八</w:t>
      </w:r>
      <w:r>
        <w:rPr>
          <w:rFonts w:hint="eastAsia" w:ascii="黑体" w:hAnsi="黑体" w:eastAsia="黑体" w:cs="黑体"/>
          <w:i w:val="0"/>
          <w:iCs w:val="0"/>
          <w:caps w:val="0"/>
          <w:color w:val="000000"/>
          <w:spacing w:val="0"/>
          <w:sz w:val="32"/>
          <w:szCs w:val="32"/>
          <w:shd w:val="clear" w:fill="FFFFFF"/>
        </w:rPr>
        <w:t>、实施推广建议</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本标准具有广泛的应用基础，可以为省内公立医疗机构互联网医院标准化、规范化管理的依据，为更好地实施推广本标准，建议如下：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（1）政府相关部门制定相应的政策推进本标准的宣传贯彻，利用标准引导省内公立医疗机构互联网医院建设的具体工作。</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480" w:firstLineChars="200"/>
        <w:jc w:val="left"/>
        <w:textAlignment w:val="auto"/>
        <w:rPr>
          <w:rFonts w:hint="eastAsia" w:ascii="宋体" w:hAnsi="宋体" w:eastAsia="宋体" w:cs="宋体"/>
          <w:color w:val="000000"/>
          <w:kern w:val="0"/>
          <w:sz w:val="24"/>
          <w:szCs w:val="24"/>
          <w:shd w:val="clear" w:color="auto" w:fill="FFFFFF"/>
          <w:lang w:val="en-US" w:eastAsia="zh-CN" w:bidi="ar-SA"/>
        </w:rPr>
      </w:pPr>
      <w:r>
        <w:rPr>
          <w:rFonts w:hint="eastAsia" w:ascii="宋体" w:hAnsi="宋体" w:eastAsia="宋体" w:cs="宋体"/>
          <w:color w:val="000000"/>
          <w:kern w:val="0"/>
          <w:sz w:val="24"/>
          <w:szCs w:val="24"/>
          <w:shd w:val="clear" w:color="auto" w:fill="FFFFFF"/>
          <w:lang w:val="en-US" w:eastAsia="zh-CN" w:bidi="ar-SA"/>
        </w:rPr>
        <w:t>（2）各级市场监管部门要不断强化对互联网医院建设的监督管理，通过执法检查和宣贯活动促进我省公立医疗机构互联网医院运营管理按照标准要求进一步得到规范。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九、起草单位和起草人员信息及分工</w:t>
      </w:r>
    </w:p>
    <w:tbl>
      <w:tblP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4207"/>
        <w:gridCol w:w="863"/>
        <w:gridCol w:w="1295"/>
        <w:gridCol w:w="2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起草单位</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起草人</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职称/职务</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江苏省人民医院/南京医科大学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丁强</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教授/书记</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顶层设计、组织协调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江苏省人民医院/南京医科大学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刘云</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教授/院长</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1 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南京医科大学附属苏州医院/南京医科大学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陈彦</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教授/院长</w:t>
            </w:r>
          </w:p>
        </w:tc>
        <w:tc>
          <w:tcPr>
            <w:tcW w:w="1232" w:type="pct"/>
            <w:shd w:val="clear"/>
            <w:vAlign w:val="center"/>
          </w:tcPr>
          <w:p>
            <w:pPr>
              <w:keepNext w:val="0"/>
              <w:keepLines w:val="0"/>
              <w:widowControl/>
              <w:suppressLineNumbers w:val="0"/>
              <w:ind w:firstLineChars="10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3 术语和定义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钱东</w:t>
            </w:r>
            <w:bookmarkStart w:id="0" w:name="_GoBack"/>
            <w:bookmarkEnd w:id="0"/>
            <w:r>
              <w:rPr>
                <w:rFonts w:hint="eastAsia" w:ascii="宋体" w:hAnsi="宋体" w:eastAsia="宋体" w:cs="宋体"/>
                <w:i w:val="0"/>
                <w:iCs w:val="0"/>
                <w:color w:val="000000"/>
                <w:kern w:val="0"/>
                <w:sz w:val="22"/>
                <w:szCs w:val="22"/>
                <w:u w:val="none"/>
                <w:bdr w:val="none" w:color="auto" w:sz="0" w:space="0"/>
                <w:lang w:val="en-US" w:eastAsia="zh-CN" w:bidi="ar"/>
              </w:rPr>
              <w:t>福</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教授/院长</w:t>
            </w:r>
          </w:p>
        </w:tc>
        <w:tc>
          <w:tcPr>
            <w:tcW w:w="1232" w:type="pct"/>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3 术语和定义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江苏亚寰软件股份有限公司</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陈亚</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总经理</w:t>
            </w:r>
          </w:p>
        </w:tc>
        <w:tc>
          <w:tcPr>
            <w:tcW w:w="1232" w:type="pct"/>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4 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蒋昀洁</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副教授</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咨询指导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江苏省人民医院</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张成</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助理研究员</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咨询指导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焦阳阳</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1232" w:type="pct"/>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3"/>
                <w:bdr w:val="none" w:color="auto" w:sz="0" w:space="0"/>
                <w:lang w:val="en-US" w:eastAsia="zh-CN" w:bidi="ar"/>
              </w:rPr>
              <w:t>5 设施部门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王可欣</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1232" w:type="pct"/>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3"/>
                <w:bdr w:val="none" w:color="auto" w:sz="0" w:space="0"/>
                <w:lang w:val="en-US" w:eastAsia="zh-CN" w:bidi="ar"/>
              </w:rPr>
              <w:t>6  管理内容及要求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谢欣照</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4 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吴子怡</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5  设施部门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吕昕怡</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1232" w:type="pct"/>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6  管理内容及要求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王迪</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7  管理评价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南京医科大学附属苏州医院</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成荣</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征求意见汇总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8" w:hRule="atLeast"/>
        </w:trPr>
        <w:tc>
          <w:tcPr>
            <w:tcW w:w="254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南京医科大学</w:t>
            </w:r>
          </w:p>
        </w:tc>
        <w:tc>
          <w:tcPr>
            <w:tcW w:w="488"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周昊阳</w:t>
            </w:r>
          </w:p>
        </w:tc>
        <w:tc>
          <w:tcPr>
            <w:tcW w:w="734"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1232" w:type="pct"/>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2"/>
                <w:bdr w:val="none" w:color="auto" w:sz="0" w:space="0"/>
                <w:lang w:val="en-US" w:eastAsia="zh-CN" w:bidi="ar"/>
              </w:rPr>
              <w:t>7  管理评价</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eastAsia" w:ascii="黑体" w:hAnsi="黑体" w:eastAsia="黑体" w:cs="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yOWFiNmI3OTI4YjJiMGVjNTY3ZDFmNzdkZTlkNTQifQ=="/>
  </w:docVars>
  <w:rsids>
    <w:rsidRoot w:val="1E804518"/>
    <w:rsid w:val="000E3A1B"/>
    <w:rsid w:val="00232A60"/>
    <w:rsid w:val="00276E33"/>
    <w:rsid w:val="002B27AE"/>
    <w:rsid w:val="003544F9"/>
    <w:rsid w:val="00556CE1"/>
    <w:rsid w:val="005823E6"/>
    <w:rsid w:val="005D5211"/>
    <w:rsid w:val="006F2FCC"/>
    <w:rsid w:val="007956A8"/>
    <w:rsid w:val="00812582"/>
    <w:rsid w:val="00A857D2"/>
    <w:rsid w:val="00B4413D"/>
    <w:rsid w:val="00BA3AEC"/>
    <w:rsid w:val="00BB739D"/>
    <w:rsid w:val="00CF4CDE"/>
    <w:rsid w:val="00DA5A6E"/>
    <w:rsid w:val="00DB2010"/>
    <w:rsid w:val="00DB7497"/>
    <w:rsid w:val="00EB2896"/>
    <w:rsid w:val="00F041E5"/>
    <w:rsid w:val="029702A0"/>
    <w:rsid w:val="0425644B"/>
    <w:rsid w:val="058518BD"/>
    <w:rsid w:val="05D90BCF"/>
    <w:rsid w:val="065E2E82"/>
    <w:rsid w:val="078656D2"/>
    <w:rsid w:val="0B3D5018"/>
    <w:rsid w:val="0BB75DF1"/>
    <w:rsid w:val="0D95362E"/>
    <w:rsid w:val="0E4D215A"/>
    <w:rsid w:val="1025513D"/>
    <w:rsid w:val="11D706B9"/>
    <w:rsid w:val="121B5084"/>
    <w:rsid w:val="13BB2232"/>
    <w:rsid w:val="13C64E07"/>
    <w:rsid w:val="16F77107"/>
    <w:rsid w:val="17273B96"/>
    <w:rsid w:val="1ACE017F"/>
    <w:rsid w:val="1C50433F"/>
    <w:rsid w:val="1D5C5F16"/>
    <w:rsid w:val="1E804518"/>
    <w:rsid w:val="22590C76"/>
    <w:rsid w:val="23084722"/>
    <w:rsid w:val="23BA3996"/>
    <w:rsid w:val="243E6375"/>
    <w:rsid w:val="244C7D5E"/>
    <w:rsid w:val="25E82A3D"/>
    <w:rsid w:val="2A4144C9"/>
    <w:rsid w:val="2AC93868"/>
    <w:rsid w:val="2ADC34FC"/>
    <w:rsid w:val="2BC76BFD"/>
    <w:rsid w:val="2BD02059"/>
    <w:rsid w:val="2CDC497D"/>
    <w:rsid w:val="2EFA733D"/>
    <w:rsid w:val="2FF67B04"/>
    <w:rsid w:val="30AC301F"/>
    <w:rsid w:val="3316601D"/>
    <w:rsid w:val="344572AC"/>
    <w:rsid w:val="353335A8"/>
    <w:rsid w:val="366A71B2"/>
    <w:rsid w:val="374E46CA"/>
    <w:rsid w:val="3B7C7A57"/>
    <w:rsid w:val="3D6A38DF"/>
    <w:rsid w:val="3DF706B7"/>
    <w:rsid w:val="3F9B151E"/>
    <w:rsid w:val="420C1409"/>
    <w:rsid w:val="423746D8"/>
    <w:rsid w:val="42980EEF"/>
    <w:rsid w:val="437A45BD"/>
    <w:rsid w:val="43963680"/>
    <w:rsid w:val="43BD3122"/>
    <w:rsid w:val="442D3FB2"/>
    <w:rsid w:val="4593218D"/>
    <w:rsid w:val="45C75D73"/>
    <w:rsid w:val="45DD535C"/>
    <w:rsid w:val="4730150C"/>
    <w:rsid w:val="48325900"/>
    <w:rsid w:val="484C6A03"/>
    <w:rsid w:val="484E2AC0"/>
    <w:rsid w:val="4A3467F3"/>
    <w:rsid w:val="4AD8632C"/>
    <w:rsid w:val="4BBD5522"/>
    <w:rsid w:val="4C651E42"/>
    <w:rsid w:val="4C8229F4"/>
    <w:rsid w:val="4D8450A1"/>
    <w:rsid w:val="4DA5349F"/>
    <w:rsid w:val="4DC112FA"/>
    <w:rsid w:val="51E34E99"/>
    <w:rsid w:val="5237602E"/>
    <w:rsid w:val="52397FF8"/>
    <w:rsid w:val="533267F6"/>
    <w:rsid w:val="545863D3"/>
    <w:rsid w:val="54B27BEE"/>
    <w:rsid w:val="577675F9"/>
    <w:rsid w:val="57FC4AD8"/>
    <w:rsid w:val="5B0F02CD"/>
    <w:rsid w:val="5BD6328E"/>
    <w:rsid w:val="5BED3C02"/>
    <w:rsid w:val="5D2E0B70"/>
    <w:rsid w:val="5D3C6BEF"/>
    <w:rsid w:val="5DAF73C1"/>
    <w:rsid w:val="5E5E2B95"/>
    <w:rsid w:val="5E824AD5"/>
    <w:rsid w:val="5F0E25FF"/>
    <w:rsid w:val="600734E4"/>
    <w:rsid w:val="61A905CB"/>
    <w:rsid w:val="620152D8"/>
    <w:rsid w:val="624D40D3"/>
    <w:rsid w:val="697E1964"/>
    <w:rsid w:val="6ACB3360"/>
    <w:rsid w:val="6BB87D88"/>
    <w:rsid w:val="6E05302D"/>
    <w:rsid w:val="6E3971BA"/>
    <w:rsid w:val="6F321DFD"/>
    <w:rsid w:val="7010761C"/>
    <w:rsid w:val="72D31EB9"/>
    <w:rsid w:val="746F7DA2"/>
    <w:rsid w:val="76992833"/>
    <w:rsid w:val="790A599B"/>
    <w:rsid w:val="79BD2A0E"/>
    <w:rsid w:val="7AE34968"/>
    <w:rsid w:val="7C156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4"/>
      <w:szCs w:val="3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link w:val="11"/>
    <w:autoRedefine/>
    <w:qFormat/>
    <w:uiPriority w:val="0"/>
    <w:pPr>
      <w:tabs>
        <w:tab w:val="center" w:pos="4153"/>
        <w:tab w:val="right" w:pos="8306"/>
      </w:tabs>
      <w:snapToGrid w:val="0"/>
      <w:jc w:val="left"/>
    </w:pPr>
    <w:rPr>
      <w:sz w:val="18"/>
      <w:szCs w:val="18"/>
    </w:rPr>
  </w:style>
  <w:style w:type="paragraph" w:styleId="4">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kern w:val="0"/>
    </w:rPr>
  </w:style>
  <w:style w:type="character" w:styleId="8">
    <w:name w:val="Strong"/>
    <w:basedOn w:val="7"/>
    <w:autoRedefine/>
    <w:qFormat/>
    <w:uiPriority w:val="0"/>
    <w:rPr>
      <w:b/>
    </w:rPr>
  </w:style>
  <w:style w:type="character" w:styleId="9">
    <w:name w:val="annotation reference"/>
    <w:basedOn w:val="7"/>
    <w:autoRedefine/>
    <w:qFormat/>
    <w:uiPriority w:val="0"/>
    <w:rPr>
      <w:sz w:val="21"/>
      <w:szCs w:val="21"/>
    </w:rPr>
  </w:style>
  <w:style w:type="character" w:customStyle="1" w:styleId="10">
    <w:name w:val="页眉 字符"/>
    <w:basedOn w:val="7"/>
    <w:link w:val="4"/>
    <w:autoRedefine/>
    <w:qFormat/>
    <w:uiPriority w:val="0"/>
    <w:rPr>
      <w:rFonts w:asciiTheme="minorHAnsi" w:hAnsiTheme="minorHAnsi" w:eastAsiaTheme="minorEastAsia" w:cstheme="minorBidi"/>
      <w:kern w:val="2"/>
      <w:sz w:val="18"/>
      <w:szCs w:val="18"/>
    </w:rPr>
  </w:style>
  <w:style w:type="character" w:customStyle="1" w:styleId="11">
    <w:name w:val="页脚 字符"/>
    <w:basedOn w:val="7"/>
    <w:link w:val="3"/>
    <w:autoRedefine/>
    <w:qFormat/>
    <w:uiPriority w:val="0"/>
    <w:rPr>
      <w:rFonts w:asciiTheme="minorHAnsi" w:hAnsiTheme="minorHAnsi" w:eastAsiaTheme="minorEastAsia" w:cstheme="minorBidi"/>
      <w:kern w:val="2"/>
      <w:sz w:val="18"/>
      <w:szCs w:val="18"/>
    </w:rPr>
  </w:style>
  <w:style w:type="character" w:customStyle="1" w:styleId="12">
    <w:name w:val="font21"/>
    <w:basedOn w:val="7"/>
    <w:uiPriority w:val="0"/>
    <w:rPr>
      <w:rFonts w:hint="eastAsia" w:ascii="宋体" w:hAnsi="宋体" w:eastAsia="宋体" w:cs="宋体"/>
      <w:color w:val="000000"/>
      <w:sz w:val="22"/>
      <w:szCs w:val="22"/>
      <w:u w:val="none"/>
    </w:rPr>
  </w:style>
  <w:style w:type="character" w:customStyle="1" w:styleId="13">
    <w:name w:val="font31"/>
    <w:basedOn w:val="7"/>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2410</Words>
  <Characters>2471</Characters>
  <Lines>5</Lines>
  <Paragraphs>1</Paragraphs>
  <TotalTime>4</TotalTime>
  <ScaleCrop>false</ScaleCrop>
  <LinksUpToDate>false</LinksUpToDate>
  <CharactersWithSpaces>2481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2023-02-17T15:33:00Z</dcterms:created>
  <dc:creator>凸^-^凸</dc:creator>
  <cp:lastModifiedBy>xie</cp:lastModifiedBy>
  <dcterms:modified xsi:type="dcterms:W3CDTF">2024-07-11T02:24:41Z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6E279569DB67476AAC082F2FD7D31D6A_13</vt:lpwstr>
  </property>
</Properties>
</file>